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15593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2474"/>
      </w:tblGrid>
      <w:tr>
        <w:trPr/>
        <w:tc>
          <w:tcPr>
            <w:gridSpan w:val="2"/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5593" w:type="dxa"/>
            <w:textDirection w:val="lrTb"/>
            <w:noWrap w:val="false"/>
          </w:tcPr>
          <w:p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906000" cy="5219700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"/>
                              <a:srcRect l="16900" t="9499" r="0" b="550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56703" cy="524641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780.0pt;height:411.0pt;mso-wrap-distance-left:0.0pt;mso-wrap-distance-top:0.0pt;mso-wrap-distance-right:0.0pt;mso-wrap-distance-bottom:0.0pt;" stroked="f">
                      <v:path textboxrect="0,0,0,0"/>
                      <v:imagedata r:id="rId8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На</w:t>
            </w: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именование инвестиционного проекта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b/>
                <w:bCs/>
                <w:color w:val="0000ff"/>
                <w:sz w:val="21"/>
                <w:szCs w:val="21"/>
                <w:lang w:eastAsia="ru-RU"/>
              </w:rPr>
              <w:t xml:space="preserve">Созд</w:t>
            </w:r>
            <w:r>
              <w:rPr>
                <w:rFonts w:ascii="Arial" w:hAnsi="Arial" w:eastAsia="Times New Roman" w:cs="Arial"/>
                <w:b/>
                <w:bCs/>
                <w:color w:val="0000ff"/>
                <w:sz w:val="21"/>
                <w:szCs w:val="21"/>
                <w:lang w:eastAsia="ru-RU"/>
              </w:rPr>
              <w:t xml:space="preserve">ание объекта "Общеобразовательная школа на 1125 учащихся в 10В микрорайоне г. Нижневартовска (Общеобразовательная организация с углубленным изучением отдельных предметов (гимназия) с универсальной безбарьерной средой)" на условиях концессионного соглашения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Программа (СЭР, ПКР)</w:t>
            </w:r>
            <w:r/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Государственная программа Ханты-Мансийского автономного округа – Югры "Развитие образования", утвержденная постановлением Правительства ХМАО-Югры от 05.10.2018 №338-п</w:t>
            </w:r>
            <w:r/>
          </w:p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Муниципальная программа "Развитие образования города Нижневартовска на 2018 - 2025 годы и на период до 2030 года", утвержденная постановлением администрации города Нижневартовска от 17.09.2014 №1858</w:t>
            </w:r>
            <w:r/>
          </w:p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Создание объекта планируется на условиях концессионного соглашения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Характеристика проекта</w:t>
            </w:r>
            <w:r/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Проектная мощность объекта - 1125 мест</w:t>
            </w:r>
            <w:r/>
          </w:p>
          <w:p>
            <w:pPr>
              <w:spacing w:after="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Режим обучения - односменный</w:t>
            </w:r>
            <w:r/>
          </w:p>
          <w:p>
            <w:pPr>
              <w:spacing w:after="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Предполагаемая площадь здания - 14 646,7 м² (с учетом коридоров, холлов и рекреаций, без технического подвала) </w:t>
            </w:r>
            <w:r/>
          </w:p>
          <w:p>
            <w:pPr>
              <w:spacing w:after="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Этажность - до 4 этажей (здания школы)</w:t>
            </w:r>
            <w:r/>
          </w:p>
          <w:p>
            <w:pPr>
              <w:spacing w:after="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Этажность - до 2 этажей (здания коммунального обслуживания при необходимости)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Цель реализации проекта</w:t>
            </w:r>
            <w:r/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Увеличение количества учебных мест на 1125 для перехода на односменный режим обучения за счет создания объекта образования в 10В микрорайоне города Нижневартовска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Планируемый объем инвестиций, тыс. руб.</w:t>
            </w:r>
            <w:r/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2 469 526,1 тыс. руб.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Расчетное количество рабочих мест</w:t>
            </w:r>
            <w:r/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157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Срок реализации проекта</w:t>
            </w:r>
            <w:r/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2024-2026 гг</w:t>
            </w: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.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Земельный участок (адрес, кадастровый №, площадь)</w:t>
            </w:r>
            <w:r/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Местоположение: Ханты-Мансийский автономный округ - Югра, г. Нижневартовск, 10В микрорайон города  </w:t>
            </w:r>
            <w:r/>
          </w:p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/>
            <w:hyperlink r:id="rId9" w:tooltip="https://map.n-vartovsk.ru/urban#?z=18&amp;c=8523787.313886324,8616314.814054362&amp;card=%7B%22key%22:1786010008547761,%22alias%22:%22GknParcel%22,%22project%22:%22dbo%22%7D" w:anchor="?z=18&amp;c=8523787.313886324,8616314.814054362&amp;card=%7B%22key%22:1786010008547761,%22alias%22:%22GknParcel%22,%22project%22:%22dbo%22%7D" w:history="1">
              <w:r>
                <w:rPr>
                  <w:rFonts w:ascii="Arial" w:hAnsi="Arial" w:eastAsia="Times New Roman" w:cs="Arial"/>
                  <w:color w:val="467fbf"/>
                  <w:sz w:val="21"/>
                  <w:szCs w:val="21"/>
                  <w:u w:val="single"/>
                  <w:lang w:eastAsia="ru-RU"/>
                </w:rPr>
                <w:t xml:space="preserve">https://map.n-vartovsk.ru/urban#?z=18&amp;amp;c=8523787.313886324,8616314.814054362&amp;amp;card=%7B...</w:t>
              </w:r>
            </w:hyperlink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   </w:t>
            </w:r>
            <w:r/>
          </w:p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Площадь: 15 712 м</w:t>
            </w:r>
            <w:r>
              <w:rPr>
                <w:rFonts w:ascii="Arial" w:hAnsi="Arial" w:eastAsia="Times New Roman" w:cs="Arial"/>
                <w:color w:val="555555"/>
                <w:sz w:val="16"/>
                <w:szCs w:val="16"/>
                <w:vertAlign w:val="superscript"/>
                <w:lang w:eastAsia="ru-RU"/>
              </w:rPr>
              <w:t xml:space="preserve">2                                                                                                                    </w:t>
            </w:r>
            <w:r/>
          </w:p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Кадастровый номер - 86:11:0102010:119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Информация о точках и ориентировочной стоимости подключения к объектам энергетической и коммунальной инфраструктуры</w:t>
            </w:r>
            <w:r/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Подключение к сетям теплоснабжения возможно в тепловой камере УТ-11 согласно проекту застройки микрорайона 10В.</w:t>
            </w:r>
            <w:r/>
          </w:p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Водопотребление от внутриквартального водовода. Водоотведение в существующий канализационный колодец внутриквартальной канализационной сети.</w:t>
            </w:r>
            <w:r/>
          </w:p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Технологическое присоединение к сетям электроснабжения: l и 2 c.ш. PУ-0,4кB TП-№l0в/5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Возможные формы поддержки (муниципальные, окружные)</w:t>
            </w:r>
            <w:r/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74" w:type="dxa"/>
            <w:vAlign w:val="center"/>
            <w:textDirection w:val="lrTb"/>
            <w:noWrap w:val="false"/>
          </w:tcPr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имущественная (предоставление земельного участка без торгов)                                      </w:t>
            </w:r>
            <w:r/>
          </w:p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финансовая (финансирование части расходов на создание объекта)                                </w:t>
            </w:r>
            <w:r/>
          </w:p>
          <w:p>
            <w:pPr>
              <w:spacing w:after="150" w:line="240" w:lineRule="auto"/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hAnsi="Arial" w:eastAsia="Times New Roman" w:cs="Arial"/>
                <w:color w:val="555555"/>
                <w:sz w:val="21"/>
                <w:szCs w:val="21"/>
                <w:lang w:eastAsia="ru-RU"/>
              </w:rPr>
              <w:t xml:space="preserve">информационно-консультационная (сопровождение проекта)</w:t>
            </w:r>
            <w:r/>
          </w:p>
        </w:tc>
      </w:tr>
    </w:tbl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91700" cy="5793638"/>
                <wp:effectExtent l="190500" t="190500" r="190500" b="188595"/>
                <wp:docPr id="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803897" cy="5800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71.0pt;height:456.2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972040" cy="5658088"/>
                <wp:effectExtent l="0" t="0" r="0" b="0"/>
                <wp:docPr id="3" name="Рисунок 2" descr="\\shares\Департамент строительства\Управление инвестиций\КОНЦЕССИЯ и МЧП\3.3. МЧП Школы\1.Школа в 10 В квартале\4.Съемка, схемы, ГПЗУ\Приложение к исх. 25-41-01 (10В схема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hares\Департамент строительства\Управление инвестиций\КОНЦЕССИЯ и МЧП\3.3. МЧП Школы\1.Школа в 10 В квартале\4.Съемка, схемы, ГПЗУ\Приложение к исх. 25-41-01 (10В схема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9972040" cy="5658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85.2pt;height:445.5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972040" cy="6364605"/>
                <wp:effectExtent l="0" t="0" r="0" b="0"/>
                <wp:docPr id="4" name="Рисунок 3" descr="\\shares\Департамент строительства\Управление инвестиций\КОНЦЕССИЯ и МЧП\3.3. МЧП Школы\1.Школа в 10 В квартале\4.Съемка, схемы, ГПЗУ\IMG_55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shares\Департамент строительства\Управление инвестиций\КОНЦЕССИЯ и МЧП\3.3. МЧП Школы\1.Школа в 10 В квартале\4.Съемка, схемы, ГПЗУ\IMG_552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972040" cy="636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85.2pt;height:501.1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972040" cy="6545580"/>
                <wp:effectExtent l="0" t="0" r="0" b="7620"/>
                <wp:docPr id="5" name="Рисунок 4" descr="\\shares\Департамент строительства\Управление инвестиций\КОНЦЕССИЯ и МЧП\3.3. МЧП Школы\1.Школа в 10 В квартале\4.Съемка, схемы, ГПЗУ\IMG_55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shares\Департамент строительства\Управление инвестиций\КОНЦЕССИЯ и МЧП\3.3. МЧП Школы\1.Школа в 10 В квартале\4.Съемка, схемы, ГПЗУ\IMG_55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972040" cy="654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85.2pt;height:515.4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bookmarkStart w:id="0" w:name="_GoBack"/>
      <w:r/>
      <w:bookmarkEnd w:id="0"/>
      <w:r/>
      <w:r/>
    </w:p>
    <w:sectPr>
      <w:footnotePr/>
      <w:endnotePr/>
      <w:type w:val="nextPage"/>
      <w:pgSz w:w="16838" w:h="11906" w:orient="landscape"/>
      <w:pgMar w:top="1134" w:right="567" w:bottom="1134" w:left="56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5"/>
    <w:next w:val="635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36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5"/>
    <w:next w:val="635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36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5"/>
    <w:next w:val="63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36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5"/>
    <w:next w:val="63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36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5"/>
    <w:next w:val="63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3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5"/>
    <w:next w:val="63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3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5"/>
    <w:next w:val="63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3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5"/>
    <w:next w:val="63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3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5"/>
    <w:next w:val="63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3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5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5"/>
    <w:next w:val="63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36"/>
    <w:link w:val="34"/>
    <w:uiPriority w:val="10"/>
    <w:rPr>
      <w:sz w:val="48"/>
      <w:szCs w:val="48"/>
    </w:rPr>
  </w:style>
  <w:style w:type="paragraph" w:styleId="36">
    <w:name w:val="Subtitle"/>
    <w:basedOn w:val="635"/>
    <w:next w:val="63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36"/>
    <w:link w:val="36"/>
    <w:uiPriority w:val="11"/>
    <w:rPr>
      <w:sz w:val="24"/>
      <w:szCs w:val="24"/>
    </w:rPr>
  </w:style>
  <w:style w:type="paragraph" w:styleId="38">
    <w:name w:val="Quote"/>
    <w:basedOn w:val="635"/>
    <w:next w:val="63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5"/>
    <w:next w:val="63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36"/>
    <w:link w:val="641"/>
    <w:uiPriority w:val="99"/>
  </w:style>
  <w:style w:type="character" w:styleId="45">
    <w:name w:val="Footer Char"/>
    <w:basedOn w:val="636"/>
    <w:link w:val="643"/>
    <w:uiPriority w:val="99"/>
  </w:style>
  <w:style w:type="paragraph" w:styleId="46">
    <w:name w:val="Caption"/>
    <w:basedOn w:val="635"/>
    <w:next w:val="6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43"/>
    <w:uiPriority w:val="99"/>
  </w:style>
  <w:style w:type="table" w:styleId="48">
    <w:name w:val="Table Grid"/>
    <w:basedOn w:val="63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3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36"/>
    <w:uiPriority w:val="99"/>
    <w:unhideWhenUsed/>
    <w:rPr>
      <w:vertAlign w:val="superscript"/>
    </w:rPr>
  </w:style>
  <w:style w:type="paragraph" w:styleId="178">
    <w:name w:val="endnote text"/>
    <w:basedOn w:val="63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36"/>
    <w:uiPriority w:val="99"/>
    <w:semiHidden/>
    <w:unhideWhenUsed/>
    <w:rPr>
      <w:vertAlign w:val="superscript"/>
    </w:rPr>
  </w:style>
  <w:style w:type="paragraph" w:styleId="181">
    <w:name w:val="toc 1"/>
    <w:basedOn w:val="635"/>
    <w:next w:val="63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5"/>
    <w:next w:val="63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5"/>
    <w:next w:val="63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5"/>
    <w:next w:val="63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5"/>
    <w:next w:val="63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5"/>
    <w:next w:val="63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5"/>
    <w:next w:val="63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5"/>
    <w:next w:val="63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5"/>
    <w:next w:val="63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5"/>
    <w:next w:val="635"/>
    <w:uiPriority w:val="99"/>
    <w:unhideWhenUsed/>
    <w:pPr>
      <w:spacing w:after="0" w:afterAutospacing="0"/>
    </w:pPr>
  </w:style>
  <w:style w:type="paragraph" w:styleId="635" w:default="1">
    <w:name w:val="Normal"/>
    <w:qFormat/>
  </w:style>
  <w:style w:type="character" w:styleId="636" w:default="1">
    <w:name w:val="Default Paragraph Font"/>
    <w:uiPriority w:val="1"/>
    <w:unhideWhenUsed/>
  </w:style>
  <w:style w:type="table" w:styleId="6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8" w:default="1">
    <w:name w:val="No List"/>
    <w:uiPriority w:val="99"/>
    <w:semiHidden/>
    <w:unhideWhenUsed/>
  </w:style>
  <w:style w:type="paragraph" w:styleId="639">
    <w:name w:val="Normal (Web)"/>
    <w:basedOn w:val="635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40">
    <w:name w:val="Hyperlink"/>
    <w:basedOn w:val="636"/>
    <w:uiPriority w:val="99"/>
    <w:semiHidden/>
    <w:unhideWhenUsed/>
    <w:rPr>
      <w:color w:val="0000ff"/>
      <w:u w:val="single"/>
    </w:rPr>
  </w:style>
  <w:style w:type="paragraph" w:styleId="641">
    <w:name w:val="Header"/>
    <w:basedOn w:val="635"/>
    <w:link w:val="64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636"/>
    <w:link w:val="641"/>
    <w:uiPriority w:val="99"/>
  </w:style>
  <w:style w:type="paragraph" w:styleId="643">
    <w:name w:val="Footer"/>
    <w:basedOn w:val="635"/>
    <w:link w:val="64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636"/>
    <w:link w:val="643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s://map.n-vartovsk.ru/urban" TargetMode="Externa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>adm. n-vartovsk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Кислицына Алина Рамилевна</dc:creator>
  <cp:keywords/>
  <dc:description/>
  <cp:revision>21</cp:revision>
  <dcterms:created xsi:type="dcterms:W3CDTF">2020-11-18T06:51:00Z</dcterms:created>
  <dcterms:modified xsi:type="dcterms:W3CDTF">2023-04-03T11:13:09Z</dcterms:modified>
</cp:coreProperties>
</file>